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55.pdf" ContentType="application/pdf"/>
  <Override PartName="/word/media/rId46.pdf" ContentType="application/pdf"/>
  <Override PartName="/word/media/rId27.pdf" ContentType="application/pdf"/>
  <Override PartName="/word/media/rId38.pdf" ContentType="application/pdf"/>
  <Override PartName="/word/media/rId4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interpolation/extrapolation in order to properly estimate the complete inventory of</w:t>
      </w:r>
      <w:r>
        <w:t xml:space="preserve"> </w:t>
      </w:r>
      <m:oMath>
        <m:sSup>
          <m:e>
            <m:r>
              <m:t>​</m:t>
            </m:r>
          </m:e>
          <m:sup>
            <m:r>
              <m:t>210</m:t>
            </m:r>
          </m:sup>
        </m:sSup>
      </m:oMath>
      <w:r>
        <w:t xml:space="preserve">Pb in the sediment.</w:t>
      </w:r>
      <w:r>
        <w:t xml:space="preserve"> </w:t>
      </w:r>
      <w:r>
        <w:t xml:space="preserve">For details see the following section.</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w:t>
      </w:r>
      <w:r>
        <w:t xml:space="preserve"> </w:t>
      </w:r>
      <m:oMath>
        <m:sSup>
          <m:e>
            <m:r>
              <m:t>​</m:t>
            </m:r>
          </m:e>
          <m:sup>
            <m:r>
              <m:t>210</m:t>
            </m:r>
          </m:sup>
        </m:sSup>
      </m:oMath>
      <w:r>
        <w:t xml:space="preserve">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Cs/>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r>
        <w:t xml:space="preserve"> </w:t>
      </w:r>
      <w:r>
        <w:t xml:space="preserve">This process is of crucial importance as the amount of information depends on the number of samples; which in turn depends on the budget and user decision of how much of such budget gets uses to developing the age-depth model.</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4" w:name="pb-models"/>
    <w:p>
      <w:pPr>
        <w:pStyle w:val="Heading1"/>
      </w:pPr>
      <m:oMath>
        <m:sSup>
          <m:e>
            <m:r>
              <m:t>​</m:t>
            </m:r>
          </m:e>
          <m:sup>
            <m:r>
              <m:t>210</m:t>
            </m:r>
          </m:sup>
        </m:sSup>
      </m:oMath>
      <w:r>
        <w:t xml:space="preserve">Pb Models</w:t>
      </w:r>
    </w:p>
    <w:p>
      <w:pPr>
        <w:pStyle w:val="FirstParagraph"/>
      </w:pPr>
      <w:r>
        <w:t xml:space="preserve">As previously mentioned there exist a series of methods to estimate ages from sediments containing</w:t>
      </w:r>
      <w:r>
        <w:t xml:space="preserve"> </w:t>
      </w:r>
      <m:oMath>
        <m:sSup>
          <m:e>
            <m:r>
              <m:t>​</m:t>
            </m:r>
          </m:e>
          <m:sup>
            <m:r>
              <m:t>210</m:t>
            </m:r>
          </m:sup>
        </m:sSup>
      </m:oMath>
      <w:r>
        <w:t xml:space="preserve">Pb.</w:t>
      </w:r>
      <w:r>
        <w:t xml:space="preserve"> </w:t>
      </w:r>
      <w:r>
        <w:t xml:space="preserve">These methods are based on different assumptions to achieve different chronologies.</w:t>
      </w:r>
      <w:r>
        <w:t xml:space="preserve"> </w:t>
      </w:r>
      <w:r>
        <w:t xml:space="preserve">It is important to note that all these model, excluding</w:t>
      </w:r>
      <w:r>
        <w:t xml:space="preserve"> </w:t>
      </w:r>
      <w:r>
        <w:rPr>
          <w:iCs/>
          <w:i/>
        </w:rPr>
        <w:t xml:space="preserve">Plum</w:t>
      </w:r>
      <w:r>
        <w:t xml:space="preserve">, only deal with unsupported</w:t>
      </w:r>
      <w:r>
        <w:t xml:space="preserve"> </w:t>
      </w:r>
      <m:oMath>
        <m:sSup>
          <m:e>
            <m:r>
              <m:t>​</m:t>
            </m:r>
          </m:e>
          <m:sup>
            <m:r>
              <m:t>210</m:t>
            </m:r>
          </m:sup>
        </m:sSup>
      </m:oMath>
      <w:r>
        <w:t xml:space="preserve">Pb, which is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w:t>
      </w:r>
      <w:r>
        <w:t xml:space="preserve"> </w:t>
      </w:r>
      <w:r>
        <w:t xml:space="preserve">Considering that almost any sediment contains some level of local</w:t>
      </w:r>
      <w:r>
        <w:t xml:space="preserve"> </w:t>
      </w:r>
      <m:oMath>
        <m:sSup>
          <m:e>
            <m:r>
              <m:t>​</m:t>
            </m:r>
          </m:e>
          <m:sup>
            <m:r>
              <m:t>210</m:t>
            </m:r>
          </m:sup>
        </m:sSup>
      </m:oMath>
      <w:r>
        <w:t xml:space="preserve">Pb (call supported</w:t>
      </w:r>
      <w:r>
        <w:t xml:space="preserve"> </w:t>
      </w:r>
      <m:oMath>
        <m:sSup>
          <m:e>
            <m:r>
              <m:t>​</m:t>
            </m:r>
          </m:e>
          <m:sup>
            <m:r>
              <m:t>210</m:t>
            </m:r>
          </m:sup>
        </m:sSup>
      </m:oMath>
      <w:r>
        <w:t xml:space="preserve">Pb), which is constantly replenish, and it is indistinguishable from the unsupported</w:t>
      </w:r>
      <w:r>
        <w:t xml:space="preserve"> </w:t>
      </w:r>
      <m:oMath>
        <m:sSup>
          <m:e>
            <m:r>
              <m:t>​</m:t>
            </m:r>
          </m:e>
          <m:sup>
            <m:r>
              <m:t>210</m:t>
            </m:r>
          </m:sup>
        </m:sSup>
      </m:oMath>
      <w:r>
        <w:t xml:space="preserve">Pb the proper calculation of the unsupported</w:t>
      </w:r>
      <w:r>
        <w:t xml:space="preserve"> </w:t>
      </w:r>
      <m:oMath>
        <m:sSup>
          <m:e>
            <m:r>
              <m:t>​</m:t>
            </m:r>
          </m:e>
          <m:sup>
            <m:r>
              <m:t>210</m:t>
            </m:r>
          </m:sup>
        </m:sSup>
      </m:oMath>
      <w:r>
        <w:t xml:space="preserve">Pb is critical.</w:t>
      </w:r>
      <w:r>
        <w:t xml:space="preserve"> </w:t>
      </w:r>
      <w:r>
        <w:t xml:space="preserve">In this chapter, we will go into some details of each model.</w:t>
      </w:r>
    </w:p>
    <w:bookmarkStart w:id="30" w:name="cic"/>
    <w:p>
      <w:pPr>
        <w:pStyle w:val="Heading2"/>
      </w:pPr>
      <w:r>
        <w:t xml:space="preserve">CIC</w:t>
      </w:r>
    </w:p>
    <w:p>
      <w:pPr>
        <w:pStyle w:val="FirstParagraph"/>
      </w:pPr>
      <w:r>
        <w:t xml:space="preserve">The Constant Initial Concentration model (CIC)</w:t>
      </w:r>
      <w:r>
        <w:t xml:space="preserve"> </w:t>
      </w:r>
      <w:r>
        <w:t xml:space="preserve">[@Goldberg1963; @Crozaz1964; @Robbins1978]</w:t>
      </w:r>
      <w:r>
        <w:t xml:space="preserve">, this model assumes that the inicial concentration at any layer of the sediment is the same.</w:t>
      </w:r>
      <w:r>
        <w:t xml:space="preserve"> </w:t>
      </w:r>
      <w:r>
        <w:t xml:space="preserve">With this assumption, we can define the initial concentration of any layer as</w:t>
      </w:r>
      <w:r>
        <w:t xml:space="preserve"> </w:t>
      </w:r>
      <m:oMath>
        <m:sSubSup>
          <m:e>
            <m:r>
              <m:t>P</m:t>
            </m:r>
          </m:e>
          <m:sub>
            <m:r>
              <m:t>0</m:t>
            </m:r>
          </m:sub>
          <m:sup>
            <m:r>
              <m:t>U</m:t>
            </m:r>
          </m:sup>
        </m:sSubSup>
        <m:r>
          <m:rPr>
            <m:sty m:val="p"/>
          </m:rPr>
          <m:t>=</m:t>
        </m:r>
        <m:r>
          <m:t>C</m:t>
        </m:r>
        <m:r>
          <m:t>o</m:t>
        </m:r>
        <m:r>
          <m:t>n</m:t>
        </m:r>
        <m:r>
          <m:t>s</m:t>
        </m:r>
        <m:r>
          <m:t>t</m:t>
        </m:r>
        <m:r>
          <m:t>a</m:t>
        </m:r>
        <m:r>
          <m:t>n</m:t>
        </m:r>
        <m:r>
          <m:t>t</m:t>
        </m:r>
      </m:oMath>
      <w:r>
        <w:t xml:space="preserve">, by directly using the decay equation the age of any depth as,</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f>
                  <m:fPr>
                    <m:type m:val="bar"/>
                  </m:fPr>
                  <m:num>
                    <m:r>
                      <m:t>1</m:t>
                    </m:r>
                  </m:num>
                  <m:den>
                    <m:r>
                      <m:t>λ</m:t>
                    </m:r>
                  </m:den>
                </m:f>
                <m:r>
                  <m:rPr>
                    <m:nor/>
                    <m:sty m:val="p"/>
                  </m:rPr>
                  <m:t>log</m:t>
                </m:r>
                <m:d>
                  <m:dPr>
                    <m:begChr m:val="("/>
                    <m:endChr m:val=")"/>
                    <m:grow/>
                  </m:dPr>
                  <m:e>
                    <m:f>
                      <m:fPr>
                        <m:type m:val="bar"/>
                      </m:fPr>
                      <m:num>
                        <m:sSubSup>
                          <m:e>
                            <m:r>
                              <m:t>P</m:t>
                            </m:r>
                          </m:e>
                          <m:sub>
                            <m:r>
                              <m:t>0</m:t>
                            </m:r>
                          </m:sub>
                          <m:sup>
                            <m:r>
                              <m:t>U</m:t>
                            </m:r>
                          </m:sup>
                        </m:sSubSup>
                      </m:num>
                      <m:den>
                        <m:sSubSup>
                          <m:e>
                            <m:r>
                              <m:t>P</m:t>
                            </m:r>
                          </m:e>
                          <m:sub>
                            <m:r>
                              <m:t>i</m:t>
                            </m:r>
                          </m:sub>
                          <m:sup>
                            <m:r>
                              <m:t>U</m:t>
                            </m:r>
                          </m:sup>
                        </m:sSubSup>
                      </m:den>
                    </m:f>
                  </m:e>
                </m:d>
              </m:e>
            </m:mr>
          </m:m>
        </m:oMath>
      </m:oMathPara>
    </w:p>
    <w:p>
      <w:pPr>
        <w:pStyle w:val="FirstParagraph"/>
      </w:pPr>
      <w:r>
        <w:t xml:space="preserve">where</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r>
        <w:t xml:space="preserve"> </w:t>
      </w:r>
      <m:oMath>
        <m:sSubSup>
          <m:e>
            <m:r>
              <m:t>P</m:t>
            </m:r>
          </m:e>
          <m:sub>
            <m:r>
              <m:t>0</m:t>
            </m:r>
          </m:sub>
          <m:sup>
            <m:r>
              <m:t>U</m:t>
            </m:r>
          </m:sup>
        </m:sSubSup>
      </m:oMath>
      <w:r>
        <w:t xml:space="preserve"> </w:t>
      </w:r>
      <w:r>
        <w:t xml:space="preserve">and</w:t>
      </w:r>
      <w:r>
        <w:t xml:space="preserve"> </w:t>
      </w:r>
      <m:oMath>
        <m:sSubSup>
          <m:e>
            <m:r>
              <m:t>P</m:t>
            </m:r>
          </m:e>
          <m:sub>
            <m:r>
              <m:t>i</m:t>
            </m:r>
          </m:sub>
          <m:sup>
            <m:r>
              <m:t>U</m:t>
            </m:r>
          </m:sup>
        </m:sSubSup>
      </m:oMath>
      <w:r>
        <w:t xml:space="preserve"> </w:t>
      </w:r>
      <w:r>
        <w:t xml:space="preserve">are the inicial</w:t>
      </w:r>
      <w:r>
        <w:t xml:space="preserve"> </w:t>
      </w:r>
      <m:oMath>
        <m:sSup>
          <m:e>
            <m:r>
              <m:t>​</m:t>
            </m:r>
          </m:e>
          <m:sup>
            <m:r>
              <m:t>210</m:t>
            </m:r>
          </m:sup>
        </m:sSup>
      </m:oMath>
      <w:r>
        <w:t xml:space="preserve">Pb concentration and measured concentration of layer</w:t>
      </w:r>
      <w:r>
        <w:t xml:space="preserve"> </w:t>
      </w:r>
      <m:oMath>
        <m:r>
          <m:t>i</m:t>
        </m:r>
      </m:oMath>
      <w:r>
        <w:t xml:space="preserve"> </w:t>
      </w:r>
      <w:r>
        <w:t xml:space="preserve">respectively.</w:t>
      </w:r>
    </w:p>
    <w:p>
      <w:pPr>
        <w:pStyle w:val="BodyText"/>
      </w:pPr>
      <w:r>
        <w:t xml:space="preserve">As we can observe this model does not take into account any fluctuation in the influx of</w:t>
      </w:r>
      <w:r>
        <w:t xml:space="preserve"> </w:t>
      </w:r>
      <m:oMath>
        <m:sSup>
          <m:e>
            <m:r>
              <m:t>​</m:t>
            </m:r>
          </m:e>
          <m:sup>
            <m:r>
              <m:t>210</m:t>
            </m:r>
          </m:sup>
        </m:sSup>
      </m:oMath>
      <w:r>
        <w:t xml:space="preserve">Pb to the sediment.</w:t>
      </w:r>
      <w:r>
        <w:t xml:space="preserve"> </w:t>
      </w:r>
      <w:r>
        <w:t xml:space="preserve">This assumption is particularly strong as</w:t>
      </w:r>
      <w:r>
        <w:t xml:space="preserve"> </w:t>
      </w:r>
      <m:oMath>
        <m:sSup>
          <m:e>
            <m:r>
              <m:t>​</m:t>
            </m:r>
          </m:e>
          <m:sup>
            <m:r>
              <m:t>210</m:t>
            </m:r>
          </m:sup>
        </m:sSup>
      </m:oMath>
      <w:r>
        <w:t xml:space="preserve">Pb influx (Buscar una cita).</w:t>
      </w:r>
      <w:r>
        <w:t xml:space="preserve"> </w:t>
      </w:r>
      <w:r>
        <w:t xml:space="preserve">As Figure</w:t>
      </w:r>
      <w:r>
        <w:t xml:space="preserve"> </w:t>
      </w:r>
      <w:hyperlink w:anchor="fig:210models">
        <w:r>
          <w:rPr>
            <w:rStyle w:val="Hyperlink"/>
          </w:rPr>
          <w:t xml:space="preserve">1</w:t>
        </w:r>
      </w:hyperlink>
      <w:r>
        <w:t xml:space="preserve"> </w:t>
      </w:r>
      <w:r>
        <w:t xml:space="preserve">shows, this model is rarely used and its uses are mostly limited to early uses or uses where other models’ requirements are not met.</w:t>
      </w:r>
    </w:p>
    <w:p>
      <w:pPr>
        <w:pStyle w:val="BodyText"/>
      </w:pPr>
      <w:r>
        <w:t xml:space="preserve">An example of the use of this model is shown at the end of this chapter with a comparison to the other models. For details on the application of the model refer to</w:t>
      </w:r>
      <w:r>
        <w:t xml:space="preserve"> </w:t>
      </w:r>
      <w:r>
        <w:t xml:space="preserve">[@Sanchez-Cabeza2012]</w:t>
      </w:r>
      <w:r>
        <w:t xml:space="preserve">.</w:t>
      </w:r>
    </w:p>
    <w:bookmarkEnd w:id="30"/>
    <w:bookmarkStart w:id="31" w:name="cfcs"/>
    <w:p>
      <w:pPr>
        <w:pStyle w:val="Heading2"/>
      </w:pPr>
      <w:r>
        <w:t xml:space="preserve">CF:CS</w:t>
      </w:r>
    </w:p>
    <w:p>
      <w:pPr>
        <w:pStyle w:val="FirstParagraph"/>
      </w:pPr>
      <w:r>
        <w:t xml:space="preserve">This model assumes both a constant inicial concentration of</w:t>
      </w:r>
      <w:r>
        <w:t xml:space="preserve"> </w:t>
      </w:r>
      <m:oMath>
        <m:sSup>
          <m:e>
            <m:r>
              <m:t>​</m:t>
            </m:r>
          </m:e>
          <m:sup>
            <m:r>
              <m:t>210</m:t>
            </m:r>
          </m:sup>
        </m:sSup>
      </m:oMath>
      <w:r>
        <w:t xml:space="preserve">Pb at any layer but also a constant accumulation rate over the accumulated mass in the sediment.</w:t>
      </w:r>
    </w:p>
    <w:p>
      <w:pPr>
        <w:pStyle w:val="BodyText"/>
      </w:pPr>
      <m:oMathPara>
        <m:oMathParaPr>
          <m:jc m:val="center"/>
        </m:oMathParaPr>
        <m:oMath>
          <m:m>
            <m:mPr>
              <m:baseJc m:val="center"/>
              <m:plcHide m:val="1"/>
              <m:mcs>
                <m:mc>
                  <m:mcPr>
                    <m:mcJc m:val="right"/>
                    <m:count m:val="1"/>
                  </m:mcPr>
                </m:mc>
              </m:mcs>
            </m:mPr>
            <m:mr>
              <m:e>
                <m:sSub>
                  <m:e>
                    <m:r>
                      <m:t>t</m:t>
                    </m:r>
                  </m:e>
                  <m:sub>
                    <m:r>
                      <m:t>i</m:t>
                    </m:r>
                  </m:sub>
                </m:sSub>
                <m:r>
                  <m:rPr>
                    <m:sty m:val="p"/>
                  </m:rPr>
                  <m:t>=</m:t>
                </m:r>
                <m:r>
                  <m:rPr>
                    <m:sty m:val="p"/>
                  </m:rPr>
                  <m:t>−</m:t>
                </m:r>
                <m:f>
                  <m:fPr>
                    <m:type m:val="bar"/>
                  </m:fPr>
                  <m:num>
                    <m:sSub>
                      <m:e>
                        <m:r>
                          <m:t>m</m:t>
                        </m:r>
                      </m:e>
                      <m:sub>
                        <m:r>
                          <m:t>i</m:t>
                        </m:r>
                      </m:sub>
                    </m:sSub>
                    <m:r>
                      <m:t>b</m:t>
                    </m:r>
                  </m:num>
                  <m:den>
                    <m:r>
                      <m:t>λ</m:t>
                    </m:r>
                  </m:den>
                </m:f>
              </m:e>
            </m:mr>
          </m:m>
        </m:oMath>
      </m:oMathPara>
    </w:p>
    <w:p>
      <w:pPr>
        <w:pStyle w:val="FirstParagraph"/>
      </w:pPr>
      <w:r>
        <w:t xml:space="preserve">Where</w:t>
      </w:r>
      <w:r>
        <w:t xml:space="preserve"> </w:t>
      </w:r>
      <m:oMath>
        <m:sSub>
          <m:e>
            <m:r>
              <m:t>m</m:t>
            </m:r>
          </m:e>
          <m:sub>
            <m:r>
              <m:t>i</m:t>
            </m:r>
          </m:sub>
        </m:sSub>
      </m:oMath>
      <w:r>
        <w:t xml:space="preserve"> </w:t>
      </w:r>
      <w:r>
        <w:t xml:space="preserve">is the accumulated dry mass of the sediment up to layer</w:t>
      </w:r>
      <w:r>
        <w:t xml:space="preserve"> </w:t>
      </w:r>
      <m:oMath>
        <m:r>
          <m:t>i</m:t>
        </m:r>
      </m:oMath>
      <w:r>
        <w:t xml:space="preserve">, and</w:t>
      </w:r>
      <w:r>
        <w:t xml:space="preserve"> </w:t>
      </w:r>
      <m:oMath>
        <m:r>
          <m:t>b</m:t>
        </m:r>
      </m:oMath>
      <w:r>
        <w:t xml:space="preserve"> </w:t>
      </w:r>
      <w:r>
        <w:t xml:space="preserve">is approximated using linear regression over the following model,</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rPr>
                    <m:sty m:val="p"/>
                  </m:rPr>
                  <m:t>(</m:t>
                </m:r>
                <m:sSubSup>
                  <m:e>
                    <m:r>
                      <m:t>P</m:t>
                    </m:r>
                  </m:e>
                  <m:sub>
                    <m:r>
                      <m:t>i</m:t>
                    </m:r>
                  </m:sub>
                  <m:sup>
                    <m:r>
                      <m:t>U</m:t>
                    </m:r>
                  </m:sup>
                </m:sSubSup>
                <m:r>
                  <m:rPr>
                    <m:sty m:val="p"/>
                  </m:rPr>
                  <m:t>)</m:t>
                </m:r>
              </m:e>
              <m:e>
                <m:r>
                  <m:rPr>
                    <m:sty m:val="p"/>
                  </m:rPr>
                  <m:t>=</m:t>
                </m:r>
                <m:r>
                  <m:t>l</m:t>
                </m:r>
                <m:r>
                  <m:t>o</m:t>
                </m:r>
                <m:r>
                  <m:t>g</m:t>
                </m:r>
                <m:r>
                  <m:rPr>
                    <m:sty m:val="p"/>
                  </m:rPr>
                  <m:t>(</m:t>
                </m:r>
                <m:sSubSup>
                  <m:e>
                    <m:r>
                      <m:t>P</m:t>
                    </m:r>
                  </m:e>
                  <m:sub>
                    <m:r>
                      <m:t>0</m:t>
                    </m:r>
                  </m:sub>
                  <m:sup>
                    <m:r>
                      <m:t>U</m:t>
                    </m:r>
                  </m:sup>
                </m:sSubSup>
                <m:r>
                  <m:rPr>
                    <m:sty m:val="p"/>
                  </m:rPr>
                  <m:t>)</m:t>
                </m:r>
                <m:r>
                  <m:rPr>
                    <m:sty m:val="p"/>
                  </m:rPr>
                  <m:t>−</m:t>
                </m:r>
                <m:f>
                  <m:fPr>
                    <m:type m:val="bar"/>
                  </m:fPr>
                  <m:num>
                    <m:r>
                      <m:t>λ</m:t>
                    </m:r>
                  </m:num>
                  <m:den>
                    <m:r>
                      <m:t>r</m:t>
                    </m:r>
                  </m:den>
                </m:f>
                <m:sSub>
                  <m:e>
                    <m:r>
                      <m:t>m</m:t>
                    </m:r>
                  </m:e>
                  <m:sub>
                    <m:r>
                      <m:t>i</m:t>
                    </m:r>
                  </m:sub>
                </m:sSub>
              </m:e>
            </m:mr>
            <m:mr>
              <m:e/>
              <m:e>
                <m:r>
                  <m:rPr>
                    <m:sty m:val="p"/>
                  </m:rPr>
                  <m:t>=</m:t>
                </m:r>
                <m:acc>
                  <m:accPr>
                    <m:chr m:val="̂"/>
                  </m:accPr>
                  <m:e>
                    <m:r>
                      <m:t>a</m:t>
                    </m:r>
                  </m:e>
                </m:acc>
                <m:r>
                  <m:rPr>
                    <m:sty m:val="p"/>
                  </m:rPr>
                  <m:t>+</m:t>
                </m:r>
                <m:acc>
                  <m:accPr>
                    <m:chr m:val="̂"/>
                  </m:accPr>
                  <m:e>
                    <m:r>
                      <m:t>b</m:t>
                    </m:r>
                  </m:e>
                </m:acc>
                <m:sSub>
                  <m:e>
                    <m:r>
                      <m:t>m</m:t>
                    </m:r>
                  </m:e>
                  <m:sub>
                    <m:r>
                      <m:t>i</m:t>
                    </m:r>
                  </m:sub>
                </m:sSub>
              </m:e>
            </m:mr>
          </m:m>
        </m:oMath>
      </m:oMathPara>
    </w:p>
    <w:p>
      <w:pPr>
        <w:pStyle w:val="FirstParagraph"/>
      </w:pPr>
      <w:r>
        <w:t xml:space="preserve">It is important to note that this models even if more flexible it is still very restrictive, as it can be seem this model is even more rarely use in the practice and again, it only use when the CRS model cant not be used.</w:t>
      </w:r>
      <w:r>
        <w:t xml:space="preserve"> </w:t>
      </w:r>
      <w:r>
        <w:t xml:space="preserve">For the proper implementation of this model, refer to</w:t>
      </w:r>
      <w:r>
        <w:t xml:space="preserve"> </w:t>
      </w:r>
      <w:r>
        <w:t xml:space="preserve">[@Sanchez-Cabeza2012]</w:t>
      </w:r>
      <w:r>
        <w:t xml:space="preserve">.</w:t>
      </w:r>
    </w:p>
    <w:bookmarkEnd w:id="31"/>
    <w:bookmarkStart w:id="32" w:name="crs"/>
    <w:p>
      <w:pPr>
        <w:pStyle w:val="Heading2"/>
      </w:pPr>
      <w:r>
        <w:t xml:space="preserve">CRS</w:t>
      </w:r>
    </w:p>
    <w:p>
      <w:pPr>
        <w:pStyle w:val="FirstParagraph"/>
      </w:pPr>
      <w:r>
        <w:t xml:space="preserve">Up to this point we have deal with models which have extremely restrictive assumptions and simple extensions of the decay equation.</w:t>
      </w:r>
      <w:r>
        <w:t xml:space="preserve"> </w:t>
      </w:r>
      <w:r>
        <w:t xml:space="preserve">The CRS</w:t>
      </w:r>
      <w:r>
        <w:t xml:space="preserve"> </w:t>
      </w:r>
      <w:r>
        <w:t xml:space="preserve">[@Appleby1998; @Appleby2001; @Appleby2008]</w:t>
      </w:r>
      <w:r>
        <w:t xml:space="preserve">, in contrast,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 In order to allow to flexibility in the sedimentation rate the CRS model uses remaining activity.</w:t>
      </w:r>
      <w:r>
        <w:t xml:space="preserve"> </w:t>
      </w:r>
      <w:r>
        <w:t xml:space="preserve">This variable is obtained by multiplying</w:t>
      </w:r>
      <w:r>
        <w:t xml:space="preserve"> </w:t>
      </w:r>
      <m:oMath>
        <m:sSup>
          <m:e>
            <m:r>
              <m:t>​</m:t>
            </m:r>
          </m:e>
          <m:sup>
            <m:r>
              <m:t>210</m:t>
            </m:r>
          </m:sup>
        </m:sSup>
      </m:oMath>
      <w:r>
        <w:t xml:space="preserve">Pb concentration and the density of the sediment.</w:t>
      </w:r>
    </w:p>
    <w:p>
      <w:pPr>
        <w:pStyle w:val="BodyText"/>
      </w:pPr>
      <w:r>
        <w:t xml:space="preserve">This model also requieres that the sediment is measure to the point where excess</w:t>
      </w:r>
      <w:r>
        <w:t xml:space="preserve"> </w:t>
      </w:r>
      <m:oMath>
        <m:sSup>
          <m:e>
            <m:r>
              <m:t>​</m:t>
            </m:r>
          </m:e>
          <m:sup>
            <m:r>
              <m:t>210</m:t>
            </m:r>
          </m:sup>
        </m:sSup>
      </m:oMath>
      <w:r>
        <w:t xml:space="preserve">Pb is not longer find, this is call reach equilibrium or background.</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w:t>
      </w:r>
    </w:p>
    <w:p>
      <w:pPr>
        <w:pStyle w:val="BodyText"/>
      </w:pPr>
      <m:oMathPara>
        <m:oMathParaPr>
          <m:jc m:val="center"/>
        </m:oMathParaPr>
        <m:oMath>
          <m:m>
            <m:mPr>
              <m:baseJc m:val="center"/>
              <m:plcHide m:val="1"/>
              <m:mcs>
                <m:mc>
                  <m:mcPr>
                    <m:mcJc m:val="right"/>
                    <m:count m:val="1"/>
                  </m:mcPr>
                </m:mc>
              </m:mcs>
            </m:mPr>
            <m:mr>
              <m:e>
                <m:r>
                  <m:t>t</m:t>
                </m:r>
                <m:r>
                  <m:rPr>
                    <m:sty m:val="p"/>
                  </m:rPr>
                  <m:t>(</m:t>
                </m:r>
                <m:r>
                  <m:t>x</m:t>
                </m:r>
                <m:r>
                  <m:rPr>
                    <m:sty m:val="p"/>
                  </m:rPr>
                  <m:t>)</m:t>
                </m:r>
                <m:r>
                  <m:rPr>
                    <m:sty m:val="p"/>
                  </m:rP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r>
                  <m:rPr>
                    <m:sty m:val="p"/>
                  </m:rPr>
                  <m:t>,</m:t>
                </m:r>
              </m:e>
            </m:mr>
          </m:m>
        </m:oMath>
      </m:oMathPara>
    </w:p>
    <w:p>
      <w:pPr>
        <w:pStyle w:val="FirstParagraph"/>
      </w:pPr>
      <w:r>
        <w:t xml:space="preserve">where</w:t>
      </w:r>
      <w:r>
        <w:t xml:space="preserve"> </w:t>
      </w:r>
      <m:oMath>
        <m:sSub>
          <m:e>
            <m:r>
              <m:t>A</m:t>
            </m:r>
          </m:e>
          <m:sub>
            <m:r>
              <m:t>0</m:t>
            </m:r>
          </m:sub>
        </m:sSub>
      </m:oMath>
      <w:r>
        <w:t xml:space="preserve"> </w:t>
      </w:r>
      <w:r>
        <w:t xml:space="preserve">is the complete inventory, and</w:t>
      </w:r>
      <w:r>
        <w:t xml:space="preserve"> </w:t>
      </w:r>
      <m:oMath>
        <m:sSub>
          <m:e>
            <m:r>
              <m:t>A</m:t>
            </m:r>
          </m:e>
          <m:sub>
            <m:r>
              <m:t>x</m:t>
            </m:r>
          </m:sub>
        </m:sSub>
      </m:oMath>
      <w:r>
        <w:t xml:space="preserve"> </w:t>
      </w:r>
      <w:r>
        <w:t xml:space="preserve">is the inventory up to depth</w:t>
      </w:r>
      <w:r>
        <w:t xml:space="preserve"> </w:t>
      </w:r>
      <m:oMath>
        <m:r>
          <m:t>x</m:t>
        </m:r>
      </m:oMath>
      <w:r>
        <w:t xml:space="preserve">.</w:t>
      </w:r>
    </w:p>
    <w:p>
      <w:pPr>
        <w:pStyle w:val="BodyText"/>
      </w:pPr>
      <w:r>
        <w:t xml:space="preserve">Once more details on the proper use of this and the previous models can be found in</w:t>
      </w:r>
      <w:r>
        <w:t xml:space="preserve"> </w:t>
      </w:r>
      <w:r>
        <w:t xml:space="preserve">[@Sanchez-Cabeza2012]</w:t>
      </w:r>
      <w:r>
        <w:t xml:space="preserve">.</w:t>
      </w:r>
    </w:p>
    <w:bookmarkEnd w:id="32"/>
    <w:bookmarkStart w:id="33" w:name="plum"/>
    <w:p>
      <w:pPr>
        <w:pStyle w:val="Heading2"/>
      </w:pPr>
      <w:r>
        <w:rPr>
          <w:iCs/>
          <w:i/>
        </w:rPr>
        <w:t xml:space="preserve">Plum</w:t>
      </w:r>
    </w:p>
    <w:p>
      <w:pPr>
        <w:pStyle w:val="FirstParagraph"/>
      </w:pPr>
      <w:r>
        <w:t xml:space="preserve">Lastly,</w:t>
      </w:r>
      <w:r>
        <w:t xml:space="preserve"> </w:t>
      </w:r>
      <w:r>
        <w:rPr>
          <w:iCs/>
          <w:i/>
        </w:rPr>
        <w:t xml:space="preserve">Plum</w:t>
      </w:r>
      <w:r>
        <w:t xml:space="preserve"> </w:t>
      </w:r>
      <w:r>
        <w:t xml:space="preserve">is the most recent age depth model</w:t>
      </w:r>
      <w:r>
        <w:t xml:space="preserve"> </w:t>
      </w:r>
      <w:r>
        <w:t xml:space="preserve">[@Aquino2018]</w:t>
      </w:r>
      <w:r>
        <w:t xml:space="preserve">.</w:t>
      </w:r>
      <w:r>
        <w:t xml:space="preserve"> </w:t>
      </w:r>
      <w:r>
        <w:t xml:space="preserve">This model is the first Bayesian method for dating</w:t>
      </w:r>
      <w:r>
        <w:t xml:space="preserve"> </w:t>
      </w:r>
      <m:oMath>
        <m:sSup>
          <m:e>
            <m:r>
              <m:t>​</m:t>
            </m:r>
          </m:e>
          <m:sup>
            <m:r>
              <m:t>210</m:t>
            </m:r>
          </m:sup>
        </m:sSup>
      </m:oMath>
      <w:r>
        <w:t xml:space="preserve">Pb sediments and it has recibe a moderate interest by the palaeoecological community with 18 citations up to the moment of writing this manuscript.</w:t>
      </w:r>
      <w:r>
        <w:t xml:space="preserve"> </w:t>
      </w:r>
      <w:r>
        <w:t xml:space="preserve">This is more than the citations obtained by the CF:CS model and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r>
          <m:rPr>
            <m:sty m:val="p"/>
          </m:rPr>
          <m:t>(</m:t>
        </m:r>
        <m:r>
          <m:t>x</m:t>
        </m:r>
        <m:r>
          <m:rPr>
            <m:sty m:val="p"/>
          </m:rPr>
          <m:t>)</m:t>
        </m:r>
      </m:oMath>
      <w:r>
        <w:t xml:space="preserve"> </w:t>
      </w:r>
      <w:r>
        <w:t xml:space="preserve">that relates depth</w:t>
      </w:r>
      <w:r>
        <w:t xml:space="preserve"> </w:t>
      </w:r>
      <m:oMath>
        <m:r>
          <m:t>x</m:t>
        </m:r>
      </m:oMath>
      <w:r>
        <w:t xml:space="preserve"> </w:t>
      </w:r>
      <w:r>
        <w:t xml:space="preserve">with calendar age</w:t>
      </w:r>
      <w:r>
        <w:t xml:space="preserve"> </w:t>
      </w:r>
      <m:oMath>
        <m:r>
          <m:t>t</m:t>
        </m:r>
        <m:r>
          <m:rPr>
            <m:sty m:val="p"/>
          </m:rPr>
          <m:t>(</m:t>
        </m:r>
        <m:r>
          <m:t>x</m:t>
        </m:r>
        <m:r>
          <m:rPr>
            <m:sty m:val="p"/>
          </m:rPr>
          <m:t>)</m:t>
        </m:r>
      </m:oMath>
      <w:r>
        <w:t xml:space="preserve">.</w:t>
      </w:r>
      <w:r>
        <w:t xml:space="preserve"> </w:t>
      </w:r>
      <w:r>
        <w:t xml:space="preserve">Conditional on</w:t>
      </w:r>
      <w:r>
        <w:t xml:space="preserve"> </w:t>
      </w:r>
      <m:oMath>
        <m:r>
          <m:t>t</m:t>
        </m:r>
        <m:r>
          <m:rPr>
            <m:sty m:val="p"/>
          </m:rPr>
          <m:t>(</m:t>
        </m:r>
        <m:r>
          <m:t>x</m:t>
        </m:r>
        <m:r>
          <m:rPr>
            <m:sty m:val="p"/>
          </m:rP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grow/>
                  </m:dPr>
                  <m:e>
                    <m:sSubSup>
                      <m:e>
                        <m:r>
                          <m:t>P</m:t>
                        </m:r>
                      </m:e>
                      <m:sub>
                        <m:r>
                          <m:t>i</m:t>
                        </m:r>
                      </m:sub>
                      <m:sup>
                        <m:r>
                          <m:t>S</m:t>
                        </m:r>
                      </m:sup>
                    </m:sSubSup>
                    <m:r>
                      <m:rPr>
                        <m:sty m:val="p"/>
                      </m:rPr>
                      <m:t>+</m:t>
                    </m:r>
                    <m:f>
                      <m:fPr>
                        <m:type m:val="bar"/>
                      </m:fPr>
                      <m:num>
                        <m:sSub>
                          <m:e>
                            <m:r>
                              <m:t>Φ</m:t>
                            </m:r>
                          </m:e>
                          <m:sub>
                            <m:r>
                              <m:t>i</m:t>
                            </m:r>
                          </m:sub>
                        </m:sSub>
                      </m:num>
                      <m:den>
                        <m:r>
                          <m:t>λ</m:t>
                        </m:r>
                      </m:den>
                    </m:f>
                    <m:d>
                      <m:dPr>
                        <m:begChr m:val="("/>
                        <m:endChr m:val=")"/>
                        <m:grow/>
                      </m:dPr>
                      <m:e>
                        <m:sSup>
                          <m:e>
                            <m:r>
                              <m:t>e</m:t>
                            </m:r>
                          </m:e>
                          <m:sup>
                            <m:r>
                              <m:rPr>
                                <m:sty m:val="p"/>
                              </m:rPr>
                              <m:t>−</m:t>
                            </m:r>
                            <m:r>
                              <m:t>λ</m:t>
                            </m:r>
                            <m:r>
                              <m:t>t</m:t>
                            </m:r>
                            <m:r>
                              <m:rPr>
                                <m:sty m:val="p"/>
                              </m:rPr>
                              <m:t>(</m:t>
                            </m:r>
                            <m:sSub>
                              <m:e>
                                <m:r>
                                  <m:t>x</m:t>
                                </m:r>
                              </m:e>
                              <m:sub>
                                <m:r>
                                  <m:t>i</m:t>
                                </m:r>
                              </m:sub>
                            </m:sSub>
                            <m:r>
                              <m:rPr>
                                <m:sty m:val="p"/>
                              </m:rPr>
                              <m:t>−</m:t>
                            </m:r>
                            <m:r>
                              <m:t>δ</m:t>
                            </m:r>
                            <m:r>
                              <m:rPr>
                                <m:sty m:val="p"/>
                              </m:rPr>
                              <m:t>)</m:t>
                            </m:r>
                          </m:sup>
                        </m:sSup>
                        <m:r>
                          <m:rPr>
                            <m:sty m:val="p"/>
                          </m:rPr>
                          <m:t>−</m:t>
                        </m:r>
                        <m:sSup>
                          <m:e>
                            <m:r>
                              <m:t>e</m:t>
                            </m:r>
                          </m:e>
                          <m:sup>
                            <m:r>
                              <m:rPr>
                                <m:sty m:val="p"/>
                              </m:rPr>
                              <m:t>−</m:t>
                            </m:r>
                            <m:r>
                              <m:t>λ</m:t>
                            </m:r>
                            <m:r>
                              <m:t>t</m:t>
                            </m:r>
                            <m:r>
                              <m:rPr>
                                <m:sty m:val="p"/>
                              </m:rPr>
                              <m:t>(</m:t>
                            </m:r>
                            <m:sSub>
                              <m:e>
                                <m:r>
                                  <m:t>x</m:t>
                                </m:r>
                              </m:e>
                              <m:sub>
                                <m:r>
                                  <m:t>i</m:t>
                                </m:r>
                              </m:sub>
                            </m:sSub>
                            <m:r>
                              <m:rPr>
                                <m:sty m:val="p"/>
                              </m:rPr>
                              <m:t>)</m:t>
                            </m:r>
                          </m:sup>
                        </m:sSup>
                      </m:e>
                    </m:d>
                    <m:r>
                      <m:rPr>
                        <m:sty m:val="p"/>
                      </m:rPr>
                      <m:t>,</m:t>
                    </m:r>
                    <m:r>
                      <m:rPr>
                        <m:sty m:val="p"/>
                      </m:rPr>
                      <m:t>(</m:t>
                    </m:r>
                    <m:sSub>
                      <m:e>
                        <m:r>
                          <m:t>σ</m:t>
                        </m:r>
                      </m:e>
                      <m:sub>
                        <m:r>
                          <m:t>i</m:t>
                        </m:r>
                      </m:sub>
                    </m:sSub>
                    <m:sSub>
                      <m:e>
                        <m:r>
                          <m:t>ρ</m:t>
                        </m:r>
                      </m:e>
                      <m:sub>
                        <m:r>
                          <m:t>i</m:t>
                        </m:r>
                      </m:sub>
                    </m:sSub>
                    <m:sSup>
                      <m:e>
                        <m:r>
                          <m:rPr>
                            <m:sty m:val="p"/>
                          </m:rPr>
                          <m:t>)</m:t>
                        </m:r>
                      </m:e>
                      <m:sup>
                        <m:r>
                          <m:t>2</m:t>
                        </m:r>
                      </m:sup>
                    </m:sSup>
                  </m:e>
                </m:d>
                <m:r>
                  <m:rPr>
                    <m:sty m:val="p"/>
                  </m:rPr>
                  <m:t>.</m:t>
                </m:r>
              </m:e>
            </m:mr>
          </m:m>
        </m:oMath>
      </m:oMathPara>
    </w:p>
    <w:p>
      <w:pPr>
        <w:pStyle w:val="FirstParagraph"/>
      </w:pPr>
      <w:r>
        <w:t xml:space="preserve">Here</w:t>
      </w:r>
      <w:r>
        <w:t xml:space="preserve"> </w:t>
      </w:r>
      <m:oMath>
        <m:sSubSup>
          <m:e>
            <m:r>
              <m:t>P</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rPr>
            <m:sty m:val="p"/>
          </m:rPr>
          <m:t>(</m:t>
        </m:r>
        <m:r>
          <m:t>x</m:t>
        </m:r>
        <m:r>
          <m:rPr>
            <m:sty m:val="p"/>
          </m:rP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p>
      <w:pPr>
        <w:pStyle w:val="BodyText"/>
      </w:pPr>
      <w:r>
        <w:t xml:space="preserve">###########################</w:t>
      </w:r>
      <w:r>
        <w:t xml:space="preserve"> </w:t>
      </w:r>
      <w:r>
        <w:t xml:space="preserve">###########################</w:t>
      </w:r>
      <w:r>
        <w:t xml:space="preserve"> </w:t>
      </w:r>
      <w:r>
        <w:t xml:space="preserve">###########################</w:t>
      </w:r>
    </w:p>
    <w:bookmarkEnd w:id="33"/>
    <w:bookmarkEnd w:id="34"/>
    <w:bookmarkStart w:id="35" w:name="X44b1c0aa47dc56aa18009975fbab73e191979ee"/>
    <w:p>
      <w:pPr>
        <w:pStyle w:val="Heading1"/>
      </w:pPr>
      <w:r>
        <w:t xml:space="preserve">Model considerations and experiment setup</w:t>
      </w:r>
    </w:p>
    <w:p>
      <w:pPr>
        <w:pStyle w:val="FirstParagraph"/>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While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(provided by the authors) of the improved CRS by</w:t>
      </w:r>
      <w:r>
        <w:t xml:space="preserve"> </w:t>
      </w:r>
      <w:r>
        <w:t xml:space="preserve">[@Sanchez-Cabeza2014]</w:t>
      </w:r>
      <w:r>
        <w:t xml:space="preserve">, here labelled as revised CRS (R-CRS)</w:t>
      </w:r>
    </w:p>
    <w:p>
      <w:pPr>
        <w:pStyle w:val="BodyText"/>
      </w:pPr>
      <w:r>
        <w:t xml:space="preserve">The other models (CIC and CF:CS) were also used but the results show a big bias, as well as, an insufficient uncertainties to capture the true age-depth functions, as expected from such restrictive models.</w:t>
      </w:r>
      <w:r>
        <w:t xml:space="preserve"> </w:t>
      </w:r>
      <w:r>
        <w:t xml:space="preserve">These models were performed using the serac R package</w:t>
      </w:r>
      <w:r>
        <w:t xml:space="preserve"> </w:t>
      </w:r>
      <w:r>
        <w:t xml:space="preserve">[@Bruel_2020]</w:t>
      </w:r>
      <w:r>
        <w:t xml:space="preserve">.</w:t>
      </w:r>
      <w:r>
        <w:t xml:space="preserve"> </w:t>
      </w:r>
      <w:r>
        <w:t xml:space="preserve">These results can be observed in the appendix A of this paper.</w:t>
      </w:r>
    </w:p>
    <w:bookmarkEnd w:id="35"/>
    <w:bookmarkStart w:id="43" w:name="simulations-experiment-setup"/>
    <w:p>
      <w:pPr>
        <w:pStyle w:val="Heading1"/>
      </w:pPr>
      <w:r>
        <w:t xml:space="preserve">Simulations (experiment setup)</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rPr>
            <m:sty m:val="p"/>
          </m:rPr>
          <m:t>(</m:t>
        </m:r>
        <m:r>
          <m:t>x</m:t>
        </m:r>
        <m:r>
          <m:rPr>
            <m:sty m:val="p"/>
          </m:rP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p>
      <w:pPr>
        <w:pStyle w:val="BodyText"/>
      </w:pPr>
      <w:r>
        <w:t xml:space="preserve">This simulation will be used to generate three different data sets, which then later will be used to do sampling, which will mimic the act of sampling from a real core, which each laboratory or</w:t>
      </w:r>
      <w:r>
        <w:t xml:space="preserve"> </w:t>
      </w:r>
      <m:oMath>
        <m:sSup>
          <m:e>
            <m:r>
              <m:t>​</m:t>
            </m:r>
          </m:e>
          <m:sup>
            <m:r>
              <m:t>210</m:t>
            </m:r>
          </m:sup>
        </m:sSup>
      </m:oMath>
      <w:r>
        <w:t xml:space="preserve">Pb user has to do.</w:t>
      </w:r>
      <w:r>
        <w:t xml:space="preserve"> </w:t>
      </w:r>
      <w:r>
        <w:t xml:space="preserve">The quantity of samples is decided by the budget of each project, as explained by</w:t>
      </w:r>
      <w:r>
        <w:t xml:space="preserve"> </w:t>
      </w:r>
      <w:r>
        <w:t xml:space="preserve">[@Blaauw2018]</w:t>
      </w:r>
      <w:r>
        <w:t xml:space="preserve">.</w:t>
      </w:r>
      <w:r>
        <w:t xml:space="preserve"> </w:t>
      </w:r>
      <w:r>
        <w:t xml:space="preserve">In some cases very few samples are selected creating an age-depth model.</w:t>
      </w:r>
    </w:p>
    <w:bookmarkStart w:id="41"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36"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val="000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rPr>
                  <m:sty m:val="p"/>
                </m:rPr>
                <m:t>(</m:t>
              </m:r>
              <m:r>
                <m:t>x</m:t>
              </m:r>
              <m:r>
                <m:rPr>
                  <m:sty m:val="p"/>
                </m:rP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rPr>
                  <m:sty m:val="p"/>
                </m:rP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rPr>
                  <m:sty m:val="p"/>
                </m:rPr>
                <m:t>+</m:t>
              </m:r>
              <m:r>
                <m:t>25</m:t>
              </m:r>
              <m:r>
                <m:rPr>
                  <m:nor/>
                  <m:sty m:val="p"/>
                </m:rPr>
                <m:t>sin</m:t>
              </m:r>
              <m:r>
                <m:rPr>
                  <m:sty m:val="p"/>
                </m:rPr>
                <m:t>(</m:t>
              </m:r>
              <m:f>
                <m:fPr>
                  <m:type m:val="bar"/>
                </m:fPr>
                <m:num>
                  <m:r>
                    <m:t>x</m:t>
                  </m:r>
                </m:num>
                <m:den>
                  <m:r>
                    <m:t>π</m:t>
                  </m:r>
                </m:den>
              </m:f>
              <m:r>
                <m:rPr>
                  <m:sty m:val="p"/>
                </m:rPr>
                <m:t>)</m:t>
              </m:r>
            </m:oMath>
          </w:p>
        </w:tc>
        <w:tc>
          <w:p>
            <w:pPr>
              <w:pStyle w:val="Compact"/>
              <w:jc w:val="center"/>
            </w:pPr>
            <w:r>
              <w:t xml:space="preserve">500</w:t>
            </w:r>
          </w:p>
        </w:tc>
        <w:tc>
          <w:p>
            <w:pPr>
              <w:pStyle w:val="Compact"/>
              <w:jc w:val="center"/>
            </w:pPr>
            <w:r>
              <w:t xml:space="preserve">15</w:t>
            </w:r>
          </w:p>
        </w:tc>
      </w:tr>
    </w:tbl>
    <w:bookmarkEnd w:id="36"/>
    <w:p>
      <w:pPr>
        <w:pStyle w:val="BodyText"/>
      </w:pPr>
      <w:bookmarkStart w:id="37" w:name="tab:sim_param"/>
      <w:r>
        <w:t xml:space="preserve">[tab:sim_param]</w:t>
      </w:r>
      <w:bookmarkEnd w:id="37"/>
    </w:p>
    <w:p>
      <w:pPr>
        <w:pStyle w:val="CaptionedFigure"/>
      </w:pPr>
      <w:bookmarkStart w:id="39"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8"/>
                    <a:stretch>
                      <a:fillRect/>
                    </a:stretch>
                  </pic:blipFill>
                  <pic:spPr bwMode="auto">
                    <a:xfrm>
                      <a:off x="0" y="0"/>
                      <a:ext cx="5334000" cy="2823882"/>
                    </a:xfrm>
                    <a:prstGeom prst="rect">
                      <a:avLst/>
                    </a:prstGeom>
                    <a:noFill/>
                    <a:ln w="9525">
                      <a:noFill/>
                      <a:headEnd/>
                      <a:tailEnd/>
                    </a:ln>
                  </pic:spPr>
                </pic:pic>
              </a:graphicData>
            </a:graphic>
          </wp:inline>
        </w:drawing>
      </w:r>
      <w:bookmarkEnd w:id="39"/>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r>
          <m:rPr>
            <m:sty m:val="p"/>
          </m:rPr>
          <m:t>(</m:t>
        </m:r>
        <m:r>
          <m:t>x</m:t>
        </m:r>
        <m:r>
          <m:rPr>
            <m:sty m:val="p"/>
          </m:rP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rPr>
            <m:sty m:val="p"/>
          </m:rP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rPr>
                    <m:sty m:val="p"/>
                  </m:rPr>
                  <m:t>′</m:t>
                </m:r>
                <m:r>
                  <m:rPr>
                    <m:sty m:val="p"/>
                  </m:rPr>
                  <m:t>=</m:t>
                </m:r>
                <m:d>
                  <m:dPr>
                    <m:begChr m:val="{"/>
                    <m:endChr m:val=""/>
                    <m:grow/>
                  </m:dPr>
                  <m:e>
                    <m:m>
                      <m:mPr>
                        <m:baseJc m:val="center"/>
                        <m:plcHide m:val="1"/>
                        <m:mcs>
                          <m:mc>
                            <m:mcPr>
                              <m:mcJc m:val="left"/>
                              <m:count m:val="1"/>
                            </m:mcPr>
                          </m:mc>
                          <m:mc>
                            <m:mcPr>
                              <m:mcJc m:val="left"/>
                              <m:count m:val="1"/>
                            </m:mcPr>
                          </m:mc>
                        </m:mcs>
                      </m:mPr>
                      <m:mr>
                        <m:e>
                          <m:r>
                            <m:rPr>
                              <m:sty m:val="p"/>
                              <m:scr m:val="script"/>
                            </m:rPr>
                            <m:t>U</m:t>
                          </m:r>
                          <m:r>
                            <m:rPr>
                              <m:sty m:val="p"/>
                            </m:rPr>
                            <m:t>(</m:t>
                          </m:r>
                          <m:r>
                            <m:t>θ</m:t>
                          </m:r>
                          <m:r>
                            <m:rPr>
                              <m:sty m:val="p"/>
                            </m:rPr>
                            <m:t>−</m:t>
                          </m:r>
                          <m:sSub>
                            <m:e>
                              <m:r>
                                <m:t>x</m:t>
                              </m:r>
                            </m:e>
                            <m:sub>
                              <m:r>
                                <m:t>s</m:t>
                              </m:r>
                              <m:r>
                                <m:t>h</m:t>
                              </m:r>
                              <m:r>
                                <m:t>i</m:t>
                              </m:r>
                              <m:r>
                                <m:t>f</m:t>
                              </m:r>
                              <m:r>
                                <m:t>t</m:t>
                              </m:r>
                            </m:sub>
                          </m:sSub>
                          <m:r>
                            <m:rPr>
                              <m:sty m:val="p"/>
                            </m:rPr>
                            <m:t>,</m:t>
                          </m:r>
                          <m:r>
                            <m:t>θ</m:t>
                          </m:r>
                          <m:r>
                            <m:rPr>
                              <m:sty m:val="p"/>
                            </m:rPr>
                            <m:t>+</m:t>
                          </m:r>
                          <m:sSub>
                            <m:e>
                              <m:r>
                                <m:t>x</m:t>
                              </m:r>
                            </m:e>
                            <m:sub>
                              <m:r>
                                <m:t>s</m:t>
                              </m:r>
                              <m:r>
                                <m:t>h</m:t>
                              </m:r>
                              <m:r>
                                <m:t>i</m:t>
                              </m:r>
                              <m:r>
                                <m:t>f</m:t>
                              </m:r>
                              <m:r>
                                <m:t>t</m:t>
                              </m:r>
                            </m:sub>
                          </m:sSub>
                          <m:r>
                            <m:rPr>
                              <m:sty m:val="p"/>
                            </m:rPr>
                            <m:t>)</m:t>
                          </m:r>
                          <m:r>
                            <m:rPr>
                              <m:sty m:val="p"/>
                            </m:rPr>
                            <m:t>,</m:t>
                          </m:r>
                        </m:e>
                        <m:e>
                          <m:sSub>
                            <m:e>
                              <m:r>
                                <m:t>p</m:t>
                              </m:r>
                            </m:e>
                            <m:sub>
                              <m:r>
                                <m:t>o</m:t>
                              </m:r>
                              <m:r>
                                <m:t>u</m:t>
                              </m:r>
                              <m:r>
                                <m:t>t</m:t>
                              </m:r>
                            </m:sub>
                          </m:sSub>
                        </m:e>
                      </m:mr>
                      <m:mr>
                        <m:e>
                          <m:r>
                            <m:t>θ</m:t>
                          </m:r>
                          <m:r>
                            <m:rPr>
                              <m:sty m:val="p"/>
                            </m:rPr>
                            <m:t>,</m:t>
                          </m:r>
                        </m:e>
                        <m:e>
                          <m:r>
                            <m:t>1</m:t>
                          </m:r>
                          <m:r>
                            <m:rPr>
                              <m:sty m:val="p"/>
                            </m:rPr>
                            <m:t>−</m:t>
                          </m:r>
                          <m:sSub>
                            <m:e>
                              <m:r>
                                <m:t>p</m:t>
                              </m:r>
                            </m:e>
                            <m:sub>
                              <m:r>
                                <m:t>o</m:t>
                              </m:r>
                              <m:r>
                                <m:t>u</m:t>
                              </m:r>
                              <m:r>
                                <m:t>t</m:t>
                              </m:r>
                            </m:sub>
                          </m:sSub>
                        </m:e>
                      </m:mr>
                    </m:m>
                  </m:e>
                </m:d>
                <m:r>
                  <m:rPr>
                    <m:sty m:val="p"/>
                  </m:rPr>
                  <m:t>.</m:t>
                </m:r>
              </m:e>
            </m:mr>
          </m:m>
        </m:oMath>
      </m:oMathPara>
    </w:p>
    <w:p>
      <w:pPr>
        <w:pStyle w:val="FirstParagraph"/>
      </w:pPr>
      <w:r>
        <w:t xml:space="preserve">Finally, to simulate the uncertainty provided by the laboratory, we can define the simulated measurements as</w:t>
      </w:r>
      <w:r>
        <w:t xml:space="preserve"> </w:t>
      </w:r>
      <m:oMath>
        <m:r>
          <m:t>y</m:t>
        </m:r>
        <m:r>
          <m:rPr>
            <m:sty m:val="p"/>
          </m:rPr>
          <m:t>(</m:t>
        </m:r>
        <m:r>
          <m:t>θ</m:t>
        </m:r>
        <m:r>
          <m:rPr>
            <m:sty m:val="p"/>
          </m:rPr>
          <m:t>′</m:t>
        </m:r>
        <m:r>
          <m:rPr>
            <m:sty m:val="p"/>
          </m:rPr>
          <m:t>)</m:t>
        </m:r>
        <m:r>
          <m:rPr>
            <m:sty m:val="p"/>
          </m:rPr>
          <m:t>∼</m:t>
        </m:r>
        <m:r>
          <m:rPr>
            <m:sty m:val="p"/>
            <m:scr m:val="script"/>
          </m:rPr>
          <m:t>N</m:t>
        </m:r>
        <m:d>
          <m:dPr>
            <m:begChr m:val="("/>
            <m:endChr m:val=")"/>
            <m:grow/>
          </m:dPr>
          <m:e>
            <m:r>
              <m:t>θ</m:t>
            </m:r>
            <m:r>
              <m:rPr>
                <m:sty m:val="p"/>
              </m:rPr>
              <m:t>′</m:t>
            </m:r>
            <m:r>
              <m:rPr>
                <m:sty m:val="p"/>
              </m:rP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grow/>
          </m:dPr>
          <m:e>
            <m:sSub>
              <m:e>
                <m:r>
                  <m:t>σ</m:t>
                </m:r>
              </m:e>
              <m:sub>
                <m:r>
                  <m:t>m</m:t>
                </m:r>
                <m:r>
                  <m:t>i</m:t>
                </m:r>
                <m:r>
                  <m:t>n</m:t>
                </m:r>
              </m:sub>
            </m:sSub>
            <m:r>
              <m:rPr>
                <m:sty m:val="p"/>
              </m:rPr>
              <m:t>,</m:t>
            </m:r>
            <m:r>
              <m:t>μ</m:t>
            </m:r>
            <m:r>
              <m:rPr>
                <m:sty m:val="p"/>
              </m:rPr>
              <m:t>(</m:t>
            </m:r>
            <m:r>
              <m:t>θ</m:t>
            </m:r>
            <m:r>
              <m:rPr>
                <m:sty m:val="p"/>
              </m:rPr>
              <m:t>′</m:t>
            </m:r>
            <m:r>
              <m:rPr>
                <m:sty m:val="p"/>
              </m:rP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0">
        <w:r>
          <w:rPr>
            <w:rStyle w:val="Hyperlink"/>
          </w:rPr>
          <w:t xml:space="preserve">https://github.com/maquinolopez/Paper_Simulations/tree/master/Code/Data</w:t>
        </w:r>
      </w:hyperlink>
      <w:r>
        <w:t xml:space="preserve">.</w:t>
      </w:r>
    </w:p>
    <w:bookmarkEnd w:id="41"/>
    <w:bookmarkStart w:id="42"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As for the default settings were used.</w:t>
      </w:r>
      <w:r>
        <w:t xml:space="preserve"> </w:t>
      </w:r>
      <w:r>
        <w:t xml:space="preserve">As the CRS model (for both the CI-CRS and R-CRS) assumes that background (supported)</w:t>
      </w:r>
      <w:r>
        <w:t xml:space="preserve"> </w:t>
      </w:r>
      <m:oMath>
        <m:sSup>
          <m:e>
            <m:r>
              <m:t>​</m:t>
            </m:r>
          </m:e>
          <m:sup>
            <m:r>
              <m:t>210</m:t>
            </m:r>
          </m:sup>
        </m:sSup>
      </m:oMath>
      <w:r>
        <w:t xml:space="preserve">Pb has been reached, in order to reduce user innervation, we decided to fix the last sample (30 cm depth) for every case.</w:t>
      </w:r>
      <w:r>
        <w:t xml:space="preserve"> </w:t>
      </w:r>
      <w:r>
        <w:t xml:space="preserve">This step not only guarantees the consistent application of the CRS model, it also provides the model with a single bottom-most depth to be removed as it is common practice when using the CRS model.</w:t>
      </w:r>
      <w:r>
        <w:t xml:space="preserve"> </w:t>
      </w:r>
      <w:r>
        <w:t xml:space="preserve">Conversely, as 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Cs/>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Because of this,</w:t>
      </w:r>
      <w:r>
        <w:t xml:space="preserve"> </w:t>
      </w:r>
      <w:r>
        <w:rPr>
          <w:iCs/>
          <w:i/>
        </w:rPr>
        <w:t xml:space="preserve">Plum</w:t>
      </w:r>
      <w:r>
        <w:t xml:space="preserve">’s resulting chronology will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in order to reduce the influence of this variable in the bias of the models, a constant level of supported</w:t>
      </w:r>
      <w:r>
        <w:t xml:space="preserve"> </w:t>
      </w:r>
      <m:oMath>
        <m:sSup>
          <m:e>
            <m:r>
              <m:t>​</m:t>
            </m:r>
          </m:e>
          <m:sup>
            <m:r>
              <m:t>210</m:t>
            </m:r>
          </m:sup>
        </m:sSup>
      </m:oMath>
      <w:r>
        <w:t xml:space="preserve">Pb was assumed for both models, which coincides with the way the simulation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CRS model.</w:t>
      </w:r>
    </w:p>
    <w:p>
      <w:pPr>
        <w:pStyle w:val="BodyText"/>
      </w:pPr>
      <w:r>
        <w:t xml:space="preserve">In order to provide an objective comparison, the bias of the true age-depth model (in yr), length of the 95% intervals (in yr) and coverage (bias over the standard deviation) were calculated (the coverage indicates the distance of modelled ages from the true value given the model’s own uncertainty).</w:t>
      </w:r>
      <w:r>
        <w:t xml:space="preserve"> </w:t>
      </w:r>
      <w:r>
        <w:t xml:space="preserve">The main discussion will revolve around the coverage as it provide an intuitive measure of the accuracy a model by taking into account the levels of uncertainty provided by each model.</w:t>
      </w:r>
    </w:p>
    <w:bookmarkEnd w:id="42"/>
    <w:bookmarkEnd w:id="43"/>
    <w:bookmarkStart w:id="50"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will be used.</w:t>
      </w:r>
      <w:r>
        <w:t xml:space="preserve"> </w:t>
      </w:r>
      <w:r>
        <w:t xml:space="preserve">In order to reflect the effect of sample sizes, which depending on the budget of the project, the core could entirely sample or only a portion of it.</w:t>
      </w:r>
      <w:r>
        <w:t xml:space="preserve"> </w:t>
      </w:r>
      <w:r>
        <w:t xml:space="preserve">A samples of size</w:t>
      </w:r>
      <w:r>
        <w:t xml:space="preserve"> </w:t>
      </w:r>
      <m:oMath>
        <m:r>
          <m:t>m</m:t>
        </m:r>
      </m:oMath>
      <w:r>
        <w:t xml:space="preserve"> </w:t>
      </w:r>
      <w:r>
        <w:t xml:space="preserve">is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interval and coverage:</w:t>
      </w:r>
      <w:r>
        <w:t xml:space="preserve"> </w:t>
      </w:r>
      <w:r>
        <w:t xml:space="preserve">100 of these sub-datasets were created for different information percentages (from 10% to 95% at 5% intervals - i.e., 10%, 15%, 20%,...,95%).</w:t>
      </w:r>
      <w:r>
        <w:t xml:space="preserve"> </w:t>
      </w:r>
      <w:r>
        <w:t xml:space="preserve">The complete dataset was also used (i.e 100% percentage of information sample, or fully sampled core).</w:t>
      </w:r>
      <w:r>
        <w:t xml:space="preserve"> </w:t>
      </w:r>
      <w:r>
        <w:t xml:space="preserve">Once a dataset was created, both CRS models and</w:t>
      </w:r>
      <w:r>
        <w:t xml:space="preserve"> </w:t>
      </w:r>
      <w:r>
        <w:rPr>
          <w:iCs/>
          <w:i/>
        </w:rPr>
        <w:t xml:space="preserve">Plum</w:t>
      </w:r>
      <w:r>
        <w:t xml:space="preserve"> </w:t>
      </w:r>
      <w:r>
        <w:t xml:space="preserve">were applied (CIC and CF:CS were also applied and results shown on the appendix).</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45" w:name="fig:comparison1r"/>
      <w:r>
        <w:drawing>
          <wp:inline>
            <wp:extent cx="5334000" cy="4741333"/>
            <wp:effectExtent b="0" l="0" r="0" t="0"/>
            <wp:docPr descr="Figure 3: Comparison between Plum, R-CRS and CI-CRS model against the true age-depth model using 95% of the information percentage (using 1-cm samples). Lines show the age estimates with the 95% credible intervals (Plum) and the 95% confidence interval (CI-CRS). Dots show the coverage,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95Comparison.pdf" id="0"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bookmarkEnd w:id="45"/>
    </w:p>
    <w:p>
      <w:pPr>
        <w:pStyle w:val="ImageCaption"/>
      </w:pPr>
      <w:r>
        <w:t xml:space="preserve">Figure 3: Comparison between</w:t>
      </w:r>
      <w:r>
        <w:t xml:space="preserve"> </w:t>
      </w:r>
      <w:r>
        <w:rPr>
          <w:iCs/>
          <w:i/>
        </w:rPr>
        <w:t xml:space="preserve">Plum</w:t>
      </w:r>
      <w:r>
        <w:t xml:space="preserve">, R-CRS and CI-CRS model against the true age-depth model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bias to the true age-depth model (in yr), the mean of length of the 95% intervals (in yr), as well as the mean coverage indicating the distance of modelled ages from the true value given the model’s own uncertainty at each depth.</w:t>
      </w:r>
    </w:p>
    <w:p>
      <w:pPr>
        <w:pStyle w:val="CaptionedFigure"/>
      </w:pPr>
      <w:bookmarkStart w:id="47" w:name="fig:accpre"/>
      <w:r>
        <w:drawing>
          <wp:inline>
            <wp:extent cx="5334000" cy="7112000"/>
            <wp:effectExtent b="0" l="0" r="0" t="0"/>
            <wp:docPr descr="Figure 4: Top panel A) shows the bias between the modelled and true age of the CI-CRS (red), R-CRS (green) and Plum (blue). This panel shows how Plum provides a small bias in almost every scenario with both models improving their bias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 Plum, the length of the 95% interval divided by 4). This panel presents a worrying situation where the CI-CRS and R-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46"/>
                    <a:stretch>
                      <a:fillRect/>
                    </a:stretch>
                  </pic:blipFill>
                  <pic:spPr bwMode="auto">
                    <a:xfrm>
                      <a:off x="0" y="0"/>
                      <a:ext cx="5334000" cy="7112000"/>
                    </a:xfrm>
                    <a:prstGeom prst="rect">
                      <a:avLst/>
                    </a:prstGeom>
                    <a:noFill/>
                    <a:ln w="9525">
                      <a:noFill/>
                      <a:headEnd/>
                      <a:tailEnd/>
                    </a:ln>
                  </pic:spPr>
                </pic:pic>
              </a:graphicData>
            </a:graphic>
          </wp:inline>
        </w:drawing>
      </w:r>
      <w:bookmarkEnd w:id="47"/>
    </w:p>
    <w:p>
      <w:pPr>
        <w:pStyle w:val="ImageCaption"/>
      </w:pPr>
      <w:r>
        <w:t xml:space="preserve">Figure 4: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It is clear, from this panel, than the uncertainty provided by</w:t>
      </w:r>
      <w:r>
        <w:t xml:space="preserve"> </w:t>
      </w:r>
      <w:r>
        <w:rPr>
          <w:iCs/>
          <w:i/>
        </w:rPr>
        <w:t xml:space="preserve">Plum</w:t>
      </w:r>
      <w:r>
        <w:t xml:space="preserve"> </w:t>
      </w:r>
      <w:r>
        <w:t xml:space="preserve">is a lot bigger for low percentage of information and it constantly improves as more data is available, whereas the length of the intervals provided by the CI-CRS and R-CRS appear to stay constant regardless of the available information. Bottom panel C) shows the coverage,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presents a worrying situation where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and R-CRS) at first appears to provide a similar results (similar biasses) to the Bayesian alternative (</w:t>
      </w:r>
      <w:r>
        <w:rPr>
          <w:iCs/>
          <w:i/>
        </w:rPr>
        <w:t xml:space="preserve">Plum</w:t>
      </w:r>
      <w:r>
        <w:t xml:space="preserve">), but at higher estimated precision, if we only consider at the length of the 95% interval.</w:t>
      </w:r>
      <w:r>
        <w:t xml:space="preserve"> </w:t>
      </w:r>
      <w:r>
        <w:t xml:space="preserve">It is important to note that the CI-CRS and R-CRS models’ bias improves as more information is available.</w:t>
      </w:r>
      <w:r>
        <w:t xml:space="preserve"> </w:t>
      </w:r>
      <w:r>
        <w:t xml:space="preserve">However, if we do not consider both the effects of both the bias and length of the interval together, the results are not favourable to the CI-CRS.</w:t>
      </w:r>
      <w:r>
        <w:t xml:space="preserve"> </w:t>
      </w:r>
      <w:r>
        <w:t xml:space="preserve">To have a more realistic representation of how the models capture the true age-depth models relationship, we should observe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a coverage larger than two (two standard deviations) is incapable of capturing the true ages within its uncertainty intervals.</w:t>
      </w:r>
      <w:r>
        <w:t xml:space="preserve"> </w:t>
      </w:r>
      <w:r>
        <w:t xml:space="preserve">This means that, while the CI-CRS and R-CRS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models. Furthermore, only 0.54% (29/5333) of the CI-CRS models runs remain under the 1 standard deviation, which is the most commonly reported interval when reporting CI-CRS results, with R-CRS providing very similar results.</w:t>
      </w:r>
      <w:r>
        <w:t xml:space="preserve"> </w:t>
      </w:r>
      <w:r>
        <w:t xml:space="preserve">We can also observe a clear structure in the way that</w:t>
      </w:r>
      <w:r>
        <w:t xml:space="preserve"> </w:t>
      </w:r>
      <w:r>
        <w:rPr>
          <w:iCs/>
          <w:i/>
        </w:rPr>
        <w:t xml:space="preserve">Plum</w:t>
      </w:r>
      <w:r>
        <w:t xml:space="preserve"> </w:t>
      </w:r>
      <w:r>
        <w:t xml:space="preserve">increases its accuracy and precision to obtain a better chronology as more information is available, whereas the CI-CRS and R-CRS model does not appears to improve its ability to capture the true value from additional data, i.e it does not improve its coverage as more data is available.</w:t>
      </w:r>
      <w:r>
        <w:t xml:space="preserve"> </w:t>
      </w:r>
      <w:r>
        <w:t xml:space="preserve">Since we obtained very similar results from both the CI-CRS and R-CRS, the discussion will now focus on the CRS in general taking the CI-CRS as its base for the following calculations.</w:t>
      </w:r>
    </w:p>
    <w:p>
      <w:pPr>
        <w:pStyle w:val="BodyText"/>
      </w:pPr>
      <w:r>
        <w:t xml:space="preserve">These results are valid for the overall chronology (the mean bias, interval and coverage of the overall chronology).</w:t>
      </w:r>
      <w:r>
        <w:t xml:space="preserve"> </w:t>
      </w:r>
      <w:r>
        <w:t xml:space="preserve">In order to evaluate whether certain models are better predicting ages at certain section of the sediment cores, we have to look at the coverage of every depth.</w:t>
      </w:r>
    </w:p>
    <w:p>
      <w:pPr>
        <w:pStyle w:val="CaptionedFigure"/>
      </w:pPr>
      <w:bookmarkStart w:id="49" w:name="fig:depths"/>
      <w:r>
        <w:drawing>
          <wp:inline>
            <wp:extent cx="5334000" cy="4622800"/>
            <wp:effectExtent b="0" l="0" r="0" t="0"/>
            <wp:docPr descr="Figure 5: coverage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t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8"/>
                    <a:stretch>
                      <a:fillRect/>
                    </a:stretch>
                  </pic:blipFill>
                  <pic:spPr bwMode="auto">
                    <a:xfrm>
                      <a:off x="0" y="0"/>
                      <a:ext cx="5334000" cy="4622800"/>
                    </a:xfrm>
                    <a:prstGeom prst="rect">
                      <a:avLst/>
                    </a:prstGeom>
                    <a:noFill/>
                    <a:ln w="9525">
                      <a:noFill/>
                      <a:headEnd/>
                      <a:tailEnd/>
                    </a:ln>
                  </pic:spPr>
                </pic:pic>
              </a:graphicData>
            </a:graphic>
          </wp:inline>
        </w:drawing>
      </w:r>
      <w:bookmarkEnd w:id="49"/>
    </w:p>
    <w:p>
      <w:pPr>
        <w:pStyle w:val="ImageCaption"/>
      </w:pPr>
      <w:r>
        <w:t xml:space="preserve">Figure 5: coverage of every sampling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normalized bias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Cs/>
          <w:i/>
        </w:rPr>
        <w:t xml:space="preserve">Plum</w:t>
      </w:r>
      <w:r>
        <w:t xml:space="preserve"> </w:t>
      </w:r>
      <w:r>
        <w:t xml:space="preserve">demonstrates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Cs/>
          <w:i/>
        </w:rPr>
        <w:t xml:space="preserve">Plum</w:t>
      </w:r>
      <w:r>
        <w:t xml:space="preserve"> </w:t>
      </w:r>
      <w:r>
        <w:t xml:space="preserve">behaved in sedimentation simulation 2.</w:t>
      </w:r>
    </w:p>
    <w:bookmarkEnd w:id="50"/>
    <w:bookmarkStart w:id="51"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and</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levels.</w:t>
      </w:r>
      <w:r>
        <w:t xml:space="preserve"> </w:t>
      </w:r>
      <w:r>
        <w:t xml:space="preserve">For the first level, the overall accuracy and precision of the method were evaluated.</w:t>
      </w:r>
      <w:r>
        <w:t xml:space="preserve"> </w:t>
      </w:r>
      <w:r>
        <w:t xml:space="preserve">The mean of the bias, length of the 95% confidence and credible intervals, as well as the coverage were measured.</w:t>
      </w:r>
      <w:r>
        <w:t xml:space="preserve"> </w:t>
      </w:r>
      <w:r>
        <w:t xml:space="preserve">The second level focused on the ability of each model to capture the true value in their credible/confidence interval, and the coverage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Cs/>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capability of the model to capture the true values within their intervals, shows that the classical model (CRS)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coverage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does not exhibits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bias, unfortunately the uncertainty quantification in these methods needs improvements as they do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51"/>
    <w:bookmarkStart w:id="52"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52"/>
    <w:bookmarkStart w:id="54" w:name="sec:supp_mat"/>
    <w:p>
      <w:pPr>
        <w:pStyle w:val="Heading1"/>
      </w:pPr>
      <w:r>
        <w:t xml:space="preserve">Supplementary Material</w:t>
      </w:r>
    </w:p>
    <w:p>
      <w:pPr>
        <w:pStyle w:val="FirstParagraph"/>
      </w:pPr>
      <w:r>
        <w:t xml:space="preserve">Data for each simulation and code used are hosted at:</w:t>
      </w:r>
      <w:r>
        <w:t xml:space="preserve"> </w:t>
      </w:r>
      <w:hyperlink r:id="rId53">
        <w:r>
          <w:rPr>
            <w:rStyle w:val="Hyperlink"/>
          </w:rPr>
          <w:t xml:space="preserve">https://github.com/maquinolopez/Paper_Simulations</w:t>
        </w:r>
      </w:hyperlink>
    </w:p>
    <w:bookmarkEnd w:id="54"/>
    <w:bookmarkStart w:id="57" w:name="appendix-a"/>
    <w:p>
      <w:pPr>
        <w:pStyle w:val="Heading1"/>
      </w:pPr>
      <w:r>
        <w:t xml:space="preserve">Appendix A</w:t>
      </w:r>
    </w:p>
    <w:p>
      <w:pPr>
        <w:pStyle w:val="FirstParagraph"/>
      </w:pPr>
      <w:r>
        <w:t xml:space="preserve">Bias, length of 95% confidence intervals and coverage of the CIC and CF:CS models are shown in Figure</w:t>
      </w:r>
      <w:r>
        <w:t xml:space="preserve"> </w:t>
      </w:r>
      <w:hyperlink w:anchor="fig:CIC-CFCS">
        <w:r>
          <w:rPr>
            <w:rStyle w:val="Hyperlink"/>
          </w:rPr>
          <w:t xml:space="preserve">6</w:t>
        </w:r>
      </w:hyperlink>
      <w:r>
        <w:t xml:space="preserve">.</w:t>
      </w:r>
      <w:r>
        <w:t xml:space="preserve"> </w:t>
      </w:r>
      <w:r>
        <w:t xml:space="preserve">As it can be observe and as expected the bias of the CIC model (which can be consider the simples model) is much bigger when compare to any other alternative and it does not decrease as more data is available.</w:t>
      </w:r>
      <w:r>
        <w:t xml:space="preserve"> </w:t>
      </w:r>
      <w:r>
        <w:t xml:space="preserve">The confidence interval remains regarles of the information available, and coverage is almost always above two, which means that the uncertainties are not sufficient to capture the true age-depth model.</w:t>
      </w:r>
      <w:r>
        <w:t xml:space="preserve"> </w:t>
      </w:r>
      <w:r>
        <w:t xml:space="preserve">On the other hand the CF:CS model does decrease its bias as more data is available and after 60% to 70% this decrease does not seen improve.</w:t>
      </w:r>
      <w:r>
        <w:t xml:space="preserve"> </w:t>
      </w:r>
      <w:r>
        <w:t xml:space="preserve">The length of the interval remains the same regarles of the information available and the coverage just like the CIC model is almost always above 2 meaning that the uncertainties are not sufficient.</w:t>
      </w:r>
    </w:p>
    <w:p>
      <w:pPr>
        <w:pStyle w:val="BodyText"/>
      </w:pPr>
      <w:r>
        <w:t xml:space="preserve">These results are consistent with the discussion in the paper as classical model appear to not improve as more data is available. Its bias does decrease as more data is available (in the case of the CF:CS model) but its uncertainty is underestimated which in turn does not allow the method to have a reasonable coverage.</w:t>
      </w:r>
    </w:p>
    <w:p>
      <w:pPr>
        <w:pStyle w:val="CaptionedFigure"/>
      </w:pPr>
      <w:bookmarkStart w:id="56" w:name="fig:CIC-CFCS"/>
      <w:r>
        <w:drawing>
          <wp:inline>
            <wp:extent cx="4679999" cy="6239999"/>
            <wp:effectExtent b="0" l="0" r="0" t="0"/>
            <wp:docPr descr="Figure 6: Top panel A) shows the bias between the modelled and true age of the CF:CS (purple) and CIC (Orange). Middle panel B) shows the 95% confidence intervals. Bottom panel C) shows the coverage, presenting the distance between the modelled age and the true age normalized divided by the standard deviation. " title="" id="1" name="Picture"/>
            <a:graphic>
              <a:graphicData uri="http://schemas.openxmlformats.org/drawingml/2006/picture">
                <pic:pic>
                  <pic:nvPicPr>
                    <pic:cNvPr descr="AccPrec-appendix.pdf" id="0" name="Picture"/>
                    <pic:cNvPicPr>
                      <a:picLocks noChangeArrowheads="1" noChangeAspect="1"/>
                    </pic:cNvPicPr>
                  </pic:nvPicPr>
                  <pic:blipFill>
                    <a:blip r:embed="rId55"/>
                    <a:stretch>
                      <a:fillRect/>
                    </a:stretch>
                  </pic:blipFill>
                  <pic:spPr bwMode="auto">
                    <a:xfrm>
                      <a:off x="0" y="0"/>
                      <a:ext cx="4679999" cy="6239999"/>
                    </a:xfrm>
                    <a:prstGeom prst="rect">
                      <a:avLst/>
                    </a:prstGeom>
                    <a:noFill/>
                    <a:ln w="9525">
                      <a:noFill/>
                      <a:headEnd/>
                      <a:tailEnd/>
                    </a:ln>
                  </pic:spPr>
                </pic:pic>
              </a:graphicData>
            </a:graphic>
          </wp:inline>
        </w:drawing>
      </w:r>
      <w:bookmarkEnd w:id="56"/>
    </w:p>
    <w:p>
      <w:pPr>
        <w:pStyle w:val="ImageCaption"/>
      </w:pPr>
      <w:r>
        <w:t xml:space="preserve">Figure 6: Top panel A) shows the bias between the modelled and true age of the CF:CS (purple) and CIC (Orange). Middle panel B) shows the 95% confidence intervals. Bottom panel C) shows the coverage, presenting the distance between the modelled age and the true age normalized divided by the standard deviation.</w:t>
      </w:r>
      <w:r>
        <w:t xml:space="preserve"> </w:t>
      </w:r>
    </w:p>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55" Target="media/rId55.pdf" /><Relationship Type="http://schemas.openxmlformats.org/officeDocument/2006/relationships/image" Id="rId46" Target="media/rId46.pdf" /><Relationship Type="http://schemas.openxmlformats.org/officeDocument/2006/relationships/image" Id="rId27" Target="media/rId27.pdf" /><Relationship Type="http://schemas.openxmlformats.org/officeDocument/2006/relationships/image" Id="rId38" Target="media/rId38.pdf" /><Relationship Type="http://schemas.openxmlformats.org/officeDocument/2006/relationships/image" Id="rId48" Target="media/rId48.pdf" /><Relationship Type="http://schemas.openxmlformats.org/officeDocument/2006/relationships/hyperlink" Id="rId53" Target="https://github.com/maquinolopez/Paper_Simulations" TargetMode="External" /><Relationship Type="http://schemas.openxmlformats.org/officeDocument/2006/relationships/hyperlink" Id="rId40" Target="https://github.com/maquinolopez/Paper_Simulations/tree/master/Code/Data" TargetMode="External" /></Relationships>
</file>

<file path=word/_rels/footnotes.xml.rels><?xml version="1.0" encoding="UTF-8"?>
<Relationships xmlns="http://schemas.openxmlformats.org/package/2006/relationships"><Relationship Type="http://schemas.openxmlformats.org/officeDocument/2006/relationships/hyperlink" Id="rId53" Target="https://github.com/maquinolopez/Paper_Simulations" TargetMode="External" /><Relationship Type="http://schemas.openxmlformats.org/officeDocument/2006/relationships/hyperlink" Id="rId40"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2021-03-18T15:44:43Z</dcterms:created>
  <dcterms:modified xsi:type="dcterms:W3CDTF">2021-03-18T15:44:43Z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